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9BE76" w14:textId="77777777" w:rsidR="00D91D83" w:rsidRPr="00D64D66" w:rsidRDefault="00D91D83" w:rsidP="00D91D83">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Załącznik nr </w:t>
      </w:r>
      <w:r>
        <w:rPr>
          <w:rFonts w:ascii="Arial" w:hAnsi="Arial" w:cs="Arial"/>
          <w:color w:val="000000" w:themeColor="text1"/>
          <w:vertAlign w:val="superscript"/>
        </w:rPr>
        <w:t>3</w:t>
      </w:r>
      <w:r w:rsidRPr="00D64D66">
        <w:rPr>
          <w:rFonts w:ascii="Arial" w:hAnsi="Arial" w:cs="Arial"/>
          <w:color w:val="000000" w:themeColor="text1"/>
          <w:vertAlign w:val="superscript"/>
        </w:rPr>
        <w:t xml:space="preserve"> do Regulaminu wyboru projektów</w:t>
      </w:r>
    </w:p>
    <w:p w14:paraId="7ABC7FA4" w14:textId="0E6A7CFD" w:rsidR="00D91D83" w:rsidRPr="00D64D66" w:rsidRDefault="00D91D83" w:rsidP="00D91D83">
      <w:pPr>
        <w:jc w:val="right"/>
        <w:rPr>
          <w:rFonts w:ascii="Arial" w:hAnsi="Arial" w:cs="Arial"/>
          <w:color w:val="000000" w:themeColor="text1"/>
          <w:vertAlign w:val="superscript"/>
        </w:rPr>
      </w:pPr>
      <w:r w:rsidRPr="00D64D66">
        <w:rPr>
          <w:rFonts w:ascii="Arial" w:hAnsi="Arial" w:cs="Arial"/>
          <w:color w:val="000000" w:themeColor="text1"/>
          <w:vertAlign w:val="superscript"/>
        </w:rPr>
        <w:t>w ramac</w:t>
      </w:r>
      <w:r>
        <w:rPr>
          <w:rFonts w:ascii="Arial" w:hAnsi="Arial" w:cs="Arial"/>
          <w:color w:val="000000" w:themeColor="text1"/>
          <w:vertAlign w:val="superscript"/>
        </w:rPr>
        <w:t>h naboru nr FEWM.11.0</w:t>
      </w:r>
      <w:r w:rsidR="00FF114C">
        <w:rPr>
          <w:rFonts w:ascii="Arial" w:hAnsi="Arial" w:cs="Arial"/>
          <w:color w:val="000000" w:themeColor="text1"/>
          <w:vertAlign w:val="superscript"/>
        </w:rPr>
        <w:t>1</w:t>
      </w:r>
      <w:r>
        <w:rPr>
          <w:rFonts w:ascii="Arial" w:hAnsi="Arial" w:cs="Arial"/>
          <w:color w:val="000000" w:themeColor="text1"/>
          <w:vertAlign w:val="superscript"/>
        </w:rPr>
        <w:t>-IZ.00-00</w:t>
      </w:r>
      <w:r w:rsidR="0037609C">
        <w:rPr>
          <w:rFonts w:ascii="Arial" w:hAnsi="Arial" w:cs="Arial"/>
          <w:color w:val="000000" w:themeColor="text1"/>
          <w:vertAlign w:val="superscript"/>
        </w:rPr>
        <w:t>1</w:t>
      </w:r>
      <w:r w:rsidRPr="00D64D66">
        <w:rPr>
          <w:rFonts w:ascii="Arial" w:hAnsi="Arial" w:cs="Arial"/>
          <w:color w:val="000000" w:themeColor="text1"/>
          <w:vertAlign w:val="superscript"/>
        </w:rPr>
        <w:t>/25</w:t>
      </w:r>
    </w:p>
    <w:p w14:paraId="2C79C16C" w14:textId="77777777" w:rsidR="00D91D83" w:rsidRPr="00D64D66" w:rsidRDefault="00D91D83" w:rsidP="00D91D83">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 …………………. 2025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474D2865"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18094F">
              <w:rPr>
                <w:sz w:val="18"/>
                <w:szCs w:val="18"/>
              </w:rPr>
              <w:t xml:space="preserve"> lub zgłoszenia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5921DA6"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2C023D">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za zgodne z rynkiem wewnętrznym w </w:t>
            </w:r>
            <w:r w:rsidRPr="00995E83">
              <w:rPr>
                <w:rFonts w:asciiTheme="minorHAnsi" w:hAnsiTheme="minorHAnsi" w:cstheme="minorHAnsi"/>
                <w:i/>
                <w:sz w:val="18"/>
                <w:szCs w:val="22"/>
              </w:rPr>
              <w:lastRenderedPageBreak/>
              <w:t>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2C023D" w14:paraId="11E3A04B" w14:textId="77777777" w:rsidTr="00301705">
        <w:trPr>
          <w:trHeight w:val="2468"/>
        </w:trPr>
        <w:tc>
          <w:tcPr>
            <w:tcW w:w="567" w:type="dxa"/>
          </w:tcPr>
          <w:p w14:paraId="2509FA0F" w14:textId="784FD0F9" w:rsidR="002C023D" w:rsidRDefault="002C023D" w:rsidP="00301705">
            <w:pPr>
              <w:rPr>
                <w:sz w:val="18"/>
                <w:szCs w:val="18"/>
              </w:rPr>
            </w:pPr>
            <w:r>
              <w:rPr>
                <w:sz w:val="18"/>
                <w:szCs w:val="18"/>
              </w:rPr>
              <w:lastRenderedPageBreak/>
              <w:t>14.</w:t>
            </w:r>
          </w:p>
        </w:tc>
        <w:tc>
          <w:tcPr>
            <w:tcW w:w="3633" w:type="dxa"/>
          </w:tcPr>
          <w:p w14:paraId="0ACACB73" w14:textId="1FA94BDB" w:rsidR="002C023D" w:rsidRDefault="002C023D" w:rsidP="00301705">
            <w:pPr>
              <w:rPr>
                <w:sz w:val="18"/>
                <w:szCs w:val="18"/>
              </w:rPr>
            </w:pPr>
            <w:r>
              <w:rPr>
                <w:sz w:val="18"/>
                <w:szCs w:val="18"/>
              </w:rPr>
              <w:t>Analiza popytu.</w:t>
            </w:r>
          </w:p>
        </w:tc>
        <w:tc>
          <w:tcPr>
            <w:tcW w:w="1896" w:type="dxa"/>
          </w:tcPr>
          <w:p w14:paraId="20EB9E85" w14:textId="6E952FD8" w:rsidR="002C023D" w:rsidRPr="005B5DE6" w:rsidRDefault="002C023D" w:rsidP="00837F9D">
            <w:pPr>
              <w:rPr>
                <w:sz w:val="18"/>
                <w:szCs w:val="18"/>
              </w:rPr>
            </w:pPr>
            <w:r w:rsidRPr="00B75862">
              <w:rPr>
                <w:sz w:val="18"/>
                <w:szCs w:val="18"/>
              </w:rPr>
              <w:t>Dokument własny Wnioskodawcy</w:t>
            </w:r>
            <w:r>
              <w:rPr>
                <w:sz w:val="18"/>
                <w:szCs w:val="18"/>
              </w:rPr>
              <w:t>.</w:t>
            </w:r>
          </w:p>
        </w:tc>
        <w:tc>
          <w:tcPr>
            <w:tcW w:w="1701" w:type="dxa"/>
          </w:tcPr>
          <w:p w14:paraId="0A2D2072" w14:textId="3E6F341D" w:rsidR="002C023D" w:rsidRPr="005B5DE6" w:rsidRDefault="002C023D" w:rsidP="00837F9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02D9F1CD" w14:textId="77777777" w:rsidR="000319B2" w:rsidRDefault="000319B2" w:rsidP="000319B2">
            <w:pPr>
              <w:pStyle w:val="Akapitzlist"/>
              <w:numPr>
                <w:ilvl w:val="0"/>
                <w:numId w:val="28"/>
              </w:numPr>
              <w:ind w:left="176" w:hanging="176"/>
              <w:rPr>
                <w:sz w:val="18"/>
                <w:szCs w:val="18"/>
              </w:rPr>
            </w:pPr>
            <w:r>
              <w:rPr>
                <w:sz w:val="18"/>
                <w:szCs w:val="18"/>
              </w:rPr>
              <w:t>Dokument jest obligatoryjnym załącznikiem do każdego projektu. Jego dostarczenie jest niezbędne do oceny kryterium wyboru projektu „Analiza popytu”.</w:t>
            </w:r>
          </w:p>
          <w:p w14:paraId="7E1DEE28" w14:textId="77777777" w:rsidR="000319B2" w:rsidRPr="00A67907" w:rsidRDefault="000319B2" w:rsidP="000319B2">
            <w:pPr>
              <w:pStyle w:val="Akapitzlist"/>
              <w:numPr>
                <w:ilvl w:val="0"/>
                <w:numId w:val="28"/>
              </w:numPr>
              <w:ind w:left="176" w:hanging="176"/>
              <w:rPr>
                <w:sz w:val="18"/>
                <w:szCs w:val="18"/>
              </w:rPr>
            </w:pPr>
            <w:r w:rsidRPr="00A67907">
              <w:rPr>
                <w:sz w:val="18"/>
                <w:szCs w:val="18"/>
              </w:rPr>
              <w:t>Dokument powinien zawierać:</w:t>
            </w:r>
          </w:p>
          <w:p w14:paraId="2F2E403F" w14:textId="30668369" w:rsidR="002256D5" w:rsidRPr="002E34DD" w:rsidRDefault="000319B2" w:rsidP="002256D5">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w:t>
            </w:r>
            <w:r w:rsidR="002256D5" w:rsidRPr="00A67907">
              <w:rPr>
                <w:rFonts w:cstheme="minorHAnsi"/>
                <w:sz w:val="18"/>
                <w:szCs w:val="18"/>
              </w:rPr>
              <w:t xml:space="preserve"> Wnioski powinny zostać poparte wynikami badań zewnętrznych przeprowadzonych przez Wnioskodawcę lub podmiot zewnętrzny (np. ankiety lub inny rodzaj badań)</w:t>
            </w:r>
            <w:r w:rsidR="002256D5">
              <w:rPr>
                <w:rFonts w:cstheme="minorHAnsi"/>
                <w:sz w:val="18"/>
                <w:szCs w:val="18"/>
              </w:rPr>
              <w:t>,</w:t>
            </w:r>
          </w:p>
          <w:p w14:paraId="00427DE0" w14:textId="1C63815D" w:rsidR="002C023D" w:rsidRPr="002C023D" w:rsidRDefault="002256D5" w:rsidP="002256D5">
            <w:pPr>
              <w:ind w:left="32"/>
              <w:rPr>
                <w:rFonts w:asciiTheme="minorHAnsi" w:hAnsiTheme="minorHAnsi" w:cstheme="minorHAnsi"/>
                <w:sz w:val="18"/>
                <w:szCs w:val="22"/>
              </w:rPr>
            </w:pPr>
            <w:r w:rsidRPr="002E34DD">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2C023D" w14:paraId="78B562F8" w14:textId="77777777" w:rsidTr="00301705">
        <w:trPr>
          <w:trHeight w:val="2468"/>
        </w:trPr>
        <w:tc>
          <w:tcPr>
            <w:tcW w:w="567" w:type="dxa"/>
          </w:tcPr>
          <w:p w14:paraId="5D0AC9C9" w14:textId="3C184AF4" w:rsidR="002C023D" w:rsidRDefault="002C023D" w:rsidP="00301705">
            <w:pPr>
              <w:rPr>
                <w:sz w:val="18"/>
                <w:szCs w:val="18"/>
              </w:rPr>
            </w:pPr>
            <w:r>
              <w:rPr>
                <w:sz w:val="18"/>
                <w:szCs w:val="18"/>
              </w:rPr>
              <w:t>15.</w:t>
            </w:r>
          </w:p>
        </w:tc>
        <w:tc>
          <w:tcPr>
            <w:tcW w:w="3633" w:type="dxa"/>
          </w:tcPr>
          <w:p w14:paraId="01EBFDF0" w14:textId="1376D087" w:rsidR="002C023D" w:rsidRDefault="000319B2" w:rsidP="00301705">
            <w:pPr>
              <w:rPr>
                <w:sz w:val="18"/>
                <w:szCs w:val="18"/>
              </w:rPr>
            </w:pPr>
            <w:r>
              <w:rPr>
                <w:sz w:val="18"/>
                <w:szCs w:val="18"/>
              </w:rPr>
              <w:t>Dokument potwierdzający, że nieruchomość lub rzecz ruchoma jest zabytkiem.</w:t>
            </w:r>
          </w:p>
        </w:tc>
        <w:tc>
          <w:tcPr>
            <w:tcW w:w="1896" w:type="dxa"/>
          </w:tcPr>
          <w:p w14:paraId="55799277" w14:textId="10A0350E" w:rsidR="002C023D" w:rsidRPr="00B75862" w:rsidRDefault="000319B2" w:rsidP="00837F9D">
            <w:pPr>
              <w:rPr>
                <w:sz w:val="18"/>
                <w:szCs w:val="18"/>
              </w:rPr>
            </w:pPr>
            <w:r w:rsidRPr="00CC568A">
              <w:rPr>
                <w:sz w:val="18"/>
                <w:szCs w:val="18"/>
              </w:rPr>
              <w:t>Dokument właściwego organu</w:t>
            </w:r>
            <w:r>
              <w:rPr>
                <w:sz w:val="18"/>
                <w:szCs w:val="18"/>
              </w:rPr>
              <w:t>.</w:t>
            </w:r>
          </w:p>
        </w:tc>
        <w:tc>
          <w:tcPr>
            <w:tcW w:w="1701" w:type="dxa"/>
          </w:tcPr>
          <w:p w14:paraId="33F4B481" w14:textId="3A2A62EA" w:rsidR="002C023D" w:rsidRPr="002F489E" w:rsidRDefault="000319B2" w:rsidP="00837F9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4950FD35" w14:textId="77777777" w:rsidR="000319B2" w:rsidRDefault="000319B2" w:rsidP="000319B2">
            <w:pPr>
              <w:pStyle w:val="Akapitzlist"/>
              <w:numPr>
                <w:ilvl w:val="0"/>
                <w:numId w:val="105"/>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08A3FB2E" w14:textId="77777777" w:rsidR="0037609C" w:rsidRDefault="000319B2" w:rsidP="000319B2">
            <w:pPr>
              <w:pStyle w:val="Akapitzlist"/>
              <w:numPr>
                <w:ilvl w:val="0"/>
                <w:numId w:val="105"/>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nieruchomych należy przedłożyć dokument potwierdzający wpisanie do rejestru zabytków lub objęcia inną formą ochrony.</w:t>
            </w:r>
          </w:p>
          <w:p w14:paraId="541B4843" w14:textId="77777777" w:rsidR="002C023D" w:rsidRDefault="000319B2" w:rsidP="000319B2">
            <w:pPr>
              <w:pStyle w:val="Akapitzlist"/>
              <w:numPr>
                <w:ilvl w:val="0"/>
                <w:numId w:val="105"/>
              </w:numPr>
              <w:tabs>
                <w:tab w:val="center" w:pos="4536"/>
                <w:tab w:val="right" w:pos="9072"/>
              </w:tabs>
              <w:ind w:left="176" w:hanging="176"/>
              <w:rPr>
                <w:rFonts w:asciiTheme="minorHAnsi" w:hAnsiTheme="minorHAnsi" w:cstheme="minorHAnsi"/>
                <w:sz w:val="18"/>
                <w:szCs w:val="18"/>
              </w:rPr>
            </w:pPr>
            <w:r w:rsidRPr="0037609C">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 czy archiwalnego</w:t>
            </w:r>
            <w:r w:rsidR="00C938E0">
              <w:rPr>
                <w:rFonts w:asciiTheme="minorHAnsi" w:hAnsiTheme="minorHAnsi" w:cstheme="minorHAnsi"/>
                <w:sz w:val="18"/>
                <w:szCs w:val="18"/>
              </w:rPr>
              <w:t>.</w:t>
            </w:r>
          </w:p>
          <w:p w14:paraId="4DBD781A" w14:textId="43C4130A" w:rsidR="00C938E0" w:rsidRPr="0037609C" w:rsidRDefault="00C938E0" w:rsidP="00C938E0">
            <w:pPr>
              <w:pStyle w:val="Akapitzlist"/>
              <w:tabs>
                <w:tab w:val="center" w:pos="4536"/>
                <w:tab w:val="right" w:pos="9072"/>
              </w:tabs>
              <w:ind w:left="176"/>
              <w:rPr>
                <w:rFonts w:asciiTheme="minorHAnsi" w:hAnsiTheme="minorHAnsi" w:cstheme="minorHAnsi"/>
                <w:sz w:val="18"/>
                <w:szCs w:val="18"/>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2C023D" w:rsidRDefault="000C6687" w:rsidP="002C023D">
            <w:pPr>
              <w:pStyle w:val="Akapitzlist"/>
              <w:numPr>
                <w:ilvl w:val="0"/>
                <w:numId w:val="104"/>
              </w:numPr>
              <w:rPr>
                <w:rFonts w:cstheme="minorHAnsi"/>
                <w:bCs/>
                <w:sz w:val="18"/>
                <w:szCs w:val="18"/>
              </w:rPr>
            </w:pPr>
            <w:r w:rsidRPr="002C023D">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lastRenderedPageBreak/>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asciiTheme="minorHAnsi" w:hAnsiTheme="minorHAnsi" w:cstheme="minorHAnsi"/>
                <w:sz w:val="18"/>
                <w:szCs w:val="18"/>
              </w:rPr>
              <w:lastRenderedPageBreak/>
              <w:t xml:space="preserve">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podpisem </w:t>
            </w:r>
            <w:r>
              <w:rPr>
                <w:sz w:val="18"/>
                <w:szCs w:val="18"/>
              </w:rPr>
              <w:lastRenderedPageBreak/>
              <w:t>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lastRenderedPageBreak/>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lastRenderedPageBreak/>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 xml:space="preserve">Powiat - dwóch Członków Zarządu lub jeden Członek </w:t>
            </w:r>
            <w:r w:rsidRPr="005B5DE6">
              <w:rPr>
                <w:sz w:val="18"/>
                <w:szCs w:val="18"/>
              </w:rPr>
              <w:lastRenderedPageBreak/>
              <w:t>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5211BCA4" w:rsidR="00C948ED" w:rsidRDefault="00C948ED" w:rsidP="00A60636">
      <w:pPr>
        <w:rPr>
          <w:rFonts w:ascii="Arial" w:hAnsi="Arial" w:cs="Arial"/>
          <w:b/>
          <w:bCs/>
          <w:kern w:val="28"/>
          <w:sz w:val="32"/>
          <w:szCs w:val="32"/>
        </w:rPr>
      </w:pPr>
    </w:p>
    <w:p w14:paraId="0D7EC795" w14:textId="53BB5719" w:rsidR="00AD5F9B" w:rsidRDefault="00AD5F9B" w:rsidP="00A60636">
      <w:pPr>
        <w:rPr>
          <w:rFonts w:ascii="Arial" w:hAnsi="Arial" w:cs="Arial"/>
          <w:b/>
          <w:bCs/>
          <w:kern w:val="28"/>
          <w:sz w:val="32"/>
          <w:szCs w:val="32"/>
        </w:rPr>
      </w:pPr>
    </w:p>
    <w:p w14:paraId="55094E38" w14:textId="610AA903" w:rsidR="00AD5F9B" w:rsidRDefault="00AD5F9B" w:rsidP="00A60636">
      <w:pPr>
        <w:rPr>
          <w:rFonts w:ascii="Arial" w:hAnsi="Arial" w:cs="Arial"/>
          <w:b/>
          <w:bCs/>
          <w:kern w:val="28"/>
          <w:sz w:val="32"/>
          <w:szCs w:val="32"/>
        </w:rPr>
      </w:pPr>
    </w:p>
    <w:p w14:paraId="7102BCCA" w14:textId="11119662" w:rsidR="00AD5F9B" w:rsidRDefault="00AD5F9B" w:rsidP="00A60636">
      <w:pPr>
        <w:rPr>
          <w:rFonts w:ascii="Arial" w:hAnsi="Arial" w:cs="Arial"/>
          <w:b/>
          <w:bCs/>
          <w:kern w:val="28"/>
          <w:sz w:val="32"/>
          <w:szCs w:val="32"/>
        </w:rPr>
      </w:pPr>
    </w:p>
    <w:p w14:paraId="6AC2F0F6" w14:textId="53A2F285" w:rsidR="00AD5F9B" w:rsidRDefault="00AD5F9B" w:rsidP="00A60636">
      <w:pPr>
        <w:rPr>
          <w:rFonts w:ascii="Arial" w:hAnsi="Arial" w:cs="Arial"/>
          <w:b/>
          <w:bCs/>
          <w:kern w:val="28"/>
          <w:sz w:val="32"/>
          <w:szCs w:val="32"/>
        </w:rPr>
      </w:pPr>
    </w:p>
    <w:p w14:paraId="2D3EBA66" w14:textId="5A81ABFA" w:rsidR="00AD5F9B" w:rsidRDefault="00AD5F9B" w:rsidP="00A60636">
      <w:pPr>
        <w:rPr>
          <w:rFonts w:ascii="Arial" w:hAnsi="Arial" w:cs="Arial"/>
          <w:b/>
          <w:bCs/>
          <w:kern w:val="28"/>
          <w:sz w:val="32"/>
          <w:szCs w:val="32"/>
        </w:rPr>
      </w:pPr>
    </w:p>
    <w:p w14:paraId="3BAF7641" w14:textId="55586CAF" w:rsidR="00AD5F9B" w:rsidRDefault="00AD5F9B" w:rsidP="00A60636">
      <w:pPr>
        <w:rPr>
          <w:rFonts w:ascii="Arial" w:hAnsi="Arial" w:cs="Arial"/>
          <w:b/>
          <w:bCs/>
          <w:kern w:val="28"/>
          <w:sz w:val="32"/>
          <w:szCs w:val="32"/>
        </w:rPr>
      </w:pPr>
    </w:p>
    <w:p w14:paraId="3C4E63F2" w14:textId="265D03BF" w:rsidR="00AD5F9B" w:rsidRDefault="00AD5F9B" w:rsidP="00A60636">
      <w:pPr>
        <w:rPr>
          <w:rFonts w:ascii="Arial" w:hAnsi="Arial" w:cs="Arial"/>
          <w:b/>
          <w:bCs/>
          <w:kern w:val="28"/>
          <w:sz w:val="32"/>
          <w:szCs w:val="32"/>
        </w:rPr>
      </w:pPr>
    </w:p>
    <w:p w14:paraId="59657F24" w14:textId="25CB703B" w:rsidR="00AD5F9B" w:rsidRDefault="00AD5F9B" w:rsidP="00A60636">
      <w:pPr>
        <w:rPr>
          <w:rFonts w:ascii="Arial" w:hAnsi="Arial" w:cs="Arial"/>
          <w:b/>
          <w:bCs/>
          <w:kern w:val="28"/>
          <w:sz w:val="32"/>
          <w:szCs w:val="32"/>
        </w:rPr>
      </w:pPr>
    </w:p>
    <w:p w14:paraId="089D4D58" w14:textId="77777777" w:rsidR="00AD5F9B" w:rsidRDefault="00AD5F9B" w:rsidP="00A60636">
      <w:pPr>
        <w:rPr>
          <w:rFonts w:ascii="Arial" w:hAnsi="Arial" w:cs="Arial"/>
          <w:b/>
          <w:bCs/>
          <w:kern w:val="28"/>
          <w:sz w:val="32"/>
          <w:szCs w:val="32"/>
        </w:rPr>
      </w:pPr>
      <w:bookmarkStart w:id="2" w:name="_GoBack"/>
      <w:bookmarkEnd w:id="2"/>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0500A"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500A">
        <w:rPr>
          <w:rFonts w:ascii="Arial" w:hAnsi="Arial" w:cs="Arial"/>
        </w:rPr>
      </w:r>
      <w:r w:rsidR="00D0500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500A">
        <w:rPr>
          <w:rFonts w:ascii="Arial" w:eastAsia="TimesNewRoman" w:hAnsi="Arial" w:cs="Arial"/>
          <w:sz w:val="22"/>
          <w:szCs w:val="22"/>
        </w:rPr>
      </w:r>
      <w:r w:rsidR="00D0500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BB922" w14:textId="77777777" w:rsidR="00D0500A" w:rsidRDefault="00D0500A">
      <w:r>
        <w:separator/>
      </w:r>
    </w:p>
  </w:endnote>
  <w:endnote w:type="continuationSeparator" w:id="0">
    <w:p w14:paraId="3A542905" w14:textId="77777777" w:rsidR="00D0500A" w:rsidRDefault="00D0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37609C" w:rsidRDefault="003760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7609C" w:rsidRDefault="003760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7BA9B5BF" w:rsidR="0037609C" w:rsidRPr="00697E05" w:rsidRDefault="0037609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37609C" w:rsidRDefault="0037609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D5E5D" w14:textId="77777777" w:rsidR="00D0500A" w:rsidRDefault="00D0500A">
      <w:r>
        <w:separator/>
      </w:r>
    </w:p>
  </w:footnote>
  <w:footnote w:type="continuationSeparator" w:id="0">
    <w:p w14:paraId="54C514F8" w14:textId="77777777" w:rsidR="00D0500A" w:rsidRDefault="00D0500A">
      <w:r>
        <w:continuationSeparator/>
      </w:r>
    </w:p>
  </w:footnote>
  <w:footnote w:id="1">
    <w:p w14:paraId="023F239A" w14:textId="77777777" w:rsidR="0037609C" w:rsidRDefault="0037609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7609C" w:rsidRPr="009C5AB2" w:rsidRDefault="0037609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7609C" w:rsidRPr="009C5AB2" w:rsidRDefault="0037609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7609C" w:rsidRPr="009C5AB2" w:rsidRDefault="0037609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7609C" w:rsidRPr="00F364ED" w:rsidRDefault="0037609C">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7609C" w:rsidRPr="003905FD" w:rsidRDefault="0037609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7609C" w:rsidRPr="003905FD" w:rsidRDefault="0037609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7609C" w:rsidRPr="003905FD" w:rsidRDefault="0037609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7609C" w:rsidRDefault="0037609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7609C" w:rsidRPr="005851A5" w:rsidRDefault="0037609C"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7609C" w:rsidRPr="00A703D4" w:rsidRDefault="0037609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7609C" w:rsidRPr="00A703D4" w:rsidRDefault="0037609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7609C" w:rsidRPr="00A703D4" w:rsidRDefault="0037609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7609C" w:rsidRPr="007D5E71" w:rsidRDefault="0037609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7609C" w:rsidRPr="00B21CF9" w:rsidRDefault="0037609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7609C" w:rsidRPr="00B21CF9" w:rsidRDefault="0037609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7609C" w:rsidRPr="00B21CF9" w:rsidRDefault="0037609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7609C" w:rsidRPr="00B21CF9" w:rsidRDefault="0037609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7609C" w:rsidRPr="00470455" w:rsidRDefault="0037609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F43EE6"/>
    <w:multiLevelType w:val="hybridMultilevel"/>
    <w:tmpl w:val="9F6C8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2E1ED7"/>
    <w:multiLevelType w:val="hybridMultilevel"/>
    <w:tmpl w:val="3F86774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5B507696"/>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5"/>
  </w:num>
  <w:num w:numId="6">
    <w:abstractNumId w:val="85"/>
  </w:num>
  <w:num w:numId="7">
    <w:abstractNumId w:val="39"/>
  </w:num>
  <w:num w:numId="8">
    <w:abstractNumId w:val="82"/>
  </w:num>
  <w:num w:numId="9">
    <w:abstractNumId w:val="64"/>
  </w:num>
  <w:num w:numId="10">
    <w:abstractNumId w:val="17"/>
  </w:num>
  <w:num w:numId="11">
    <w:abstractNumId w:val="72"/>
  </w:num>
  <w:num w:numId="12">
    <w:abstractNumId w:val="19"/>
  </w:num>
  <w:num w:numId="13">
    <w:abstractNumId w:val="20"/>
  </w:num>
  <w:num w:numId="14">
    <w:abstractNumId w:val="58"/>
  </w:num>
  <w:num w:numId="15">
    <w:abstractNumId w:val="42"/>
  </w:num>
  <w:num w:numId="16">
    <w:abstractNumId w:val="11"/>
  </w:num>
  <w:num w:numId="17">
    <w:abstractNumId w:val="60"/>
  </w:num>
  <w:num w:numId="18">
    <w:abstractNumId w:val="28"/>
  </w:num>
  <w:num w:numId="19">
    <w:abstractNumId w:val="96"/>
  </w:num>
  <w:num w:numId="20">
    <w:abstractNumId w:val="89"/>
  </w:num>
  <w:num w:numId="21">
    <w:abstractNumId w:val="59"/>
  </w:num>
  <w:num w:numId="22">
    <w:abstractNumId w:val="63"/>
  </w:num>
  <w:num w:numId="23">
    <w:abstractNumId w:val="74"/>
  </w:num>
  <w:num w:numId="24">
    <w:abstractNumId w:val="100"/>
  </w:num>
  <w:num w:numId="25">
    <w:abstractNumId w:val="68"/>
  </w:num>
  <w:num w:numId="26">
    <w:abstractNumId w:val="76"/>
  </w:num>
  <w:num w:numId="27">
    <w:abstractNumId w:val="43"/>
  </w:num>
  <w:num w:numId="28">
    <w:abstractNumId w:val="47"/>
  </w:num>
  <w:num w:numId="29">
    <w:abstractNumId w:val="22"/>
  </w:num>
  <w:num w:numId="30">
    <w:abstractNumId w:val="54"/>
  </w:num>
  <w:num w:numId="31">
    <w:abstractNumId w:val="109"/>
  </w:num>
  <w:num w:numId="32">
    <w:abstractNumId w:val="44"/>
  </w:num>
  <w:num w:numId="33">
    <w:abstractNumId w:val="21"/>
  </w:num>
  <w:num w:numId="34">
    <w:abstractNumId w:val="26"/>
  </w:num>
  <w:num w:numId="35">
    <w:abstractNumId w:val="46"/>
  </w:num>
  <w:num w:numId="36">
    <w:abstractNumId w:val="57"/>
  </w:num>
  <w:num w:numId="37">
    <w:abstractNumId w:val="65"/>
  </w:num>
  <w:num w:numId="38">
    <w:abstractNumId w:val="15"/>
  </w:num>
  <w:num w:numId="39">
    <w:abstractNumId w:val="18"/>
  </w:num>
  <w:num w:numId="40">
    <w:abstractNumId w:val="106"/>
  </w:num>
  <w:num w:numId="41">
    <w:abstractNumId w:val="30"/>
  </w:num>
  <w:num w:numId="42">
    <w:abstractNumId w:val="41"/>
  </w:num>
  <w:num w:numId="43">
    <w:abstractNumId w:val="93"/>
  </w:num>
  <w:num w:numId="44">
    <w:abstractNumId w:val="5"/>
  </w:num>
  <w:num w:numId="45">
    <w:abstractNumId w:val="7"/>
  </w:num>
  <w:num w:numId="46">
    <w:abstractNumId w:val="61"/>
  </w:num>
  <w:num w:numId="47">
    <w:abstractNumId w:val="80"/>
  </w:num>
  <w:num w:numId="48">
    <w:abstractNumId w:val="66"/>
  </w:num>
  <w:num w:numId="49">
    <w:abstractNumId w:val="98"/>
  </w:num>
  <w:num w:numId="50">
    <w:abstractNumId w:val="49"/>
  </w:num>
  <w:num w:numId="51">
    <w:abstractNumId w:val="84"/>
  </w:num>
  <w:num w:numId="52">
    <w:abstractNumId w:val="73"/>
  </w:num>
  <w:num w:numId="53">
    <w:abstractNumId w:val="101"/>
  </w:num>
  <w:num w:numId="54">
    <w:abstractNumId w:val="108"/>
  </w:num>
  <w:num w:numId="55">
    <w:abstractNumId w:val="104"/>
  </w:num>
  <w:num w:numId="56">
    <w:abstractNumId w:val="31"/>
  </w:num>
  <w:num w:numId="57">
    <w:abstractNumId w:val="6"/>
  </w:num>
  <w:num w:numId="58">
    <w:abstractNumId w:val="3"/>
  </w:num>
  <w:num w:numId="59">
    <w:abstractNumId w:val="0"/>
  </w:num>
  <w:num w:numId="60">
    <w:abstractNumId w:val="14"/>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9"/>
    <w:lvlOverride w:ilvl="0">
      <w:startOverride w:val="1"/>
    </w:lvlOverride>
  </w:num>
  <w:num w:numId="65">
    <w:abstractNumId w:val="91"/>
  </w:num>
  <w:num w:numId="66">
    <w:abstractNumId w:val="37"/>
  </w:num>
  <w:num w:numId="67">
    <w:abstractNumId w:val="52"/>
  </w:num>
  <w:num w:numId="68">
    <w:abstractNumId w:val="27"/>
  </w:num>
  <w:num w:numId="69">
    <w:abstractNumId w:val="75"/>
  </w:num>
  <w:num w:numId="70">
    <w:abstractNumId w:val="77"/>
  </w:num>
  <w:num w:numId="71">
    <w:abstractNumId w:val="35"/>
  </w:num>
  <w:num w:numId="72">
    <w:abstractNumId w:val="70"/>
  </w:num>
  <w:num w:numId="73">
    <w:abstractNumId w:val="107"/>
  </w:num>
  <w:num w:numId="74">
    <w:abstractNumId w:val="69"/>
  </w:num>
  <w:num w:numId="75">
    <w:abstractNumId w:val="25"/>
  </w:num>
  <w:num w:numId="76">
    <w:abstractNumId w:val="71"/>
  </w:num>
  <w:num w:numId="77">
    <w:abstractNumId w:val="34"/>
  </w:num>
  <w:num w:numId="78">
    <w:abstractNumId w:val="95"/>
  </w:num>
  <w:num w:numId="79">
    <w:abstractNumId w:val="105"/>
  </w:num>
  <w:num w:numId="80">
    <w:abstractNumId w:val="83"/>
  </w:num>
  <w:num w:numId="81">
    <w:abstractNumId w:val="67"/>
  </w:num>
  <w:num w:numId="82">
    <w:abstractNumId w:val="56"/>
  </w:num>
  <w:num w:numId="83">
    <w:abstractNumId w:val="33"/>
  </w:num>
  <w:num w:numId="84">
    <w:abstractNumId w:val="38"/>
  </w:num>
  <w:num w:numId="85">
    <w:abstractNumId w:val="88"/>
  </w:num>
  <w:num w:numId="86">
    <w:abstractNumId w:val="62"/>
  </w:num>
  <w:num w:numId="87">
    <w:abstractNumId w:val="36"/>
  </w:num>
  <w:num w:numId="88">
    <w:abstractNumId w:val="53"/>
  </w:num>
  <w:num w:numId="89">
    <w:abstractNumId w:val="40"/>
  </w:num>
  <w:num w:numId="90">
    <w:abstractNumId w:val="92"/>
  </w:num>
  <w:num w:numId="91">
    <w:abstractNumId w:val="32"/>
  </w:num>
  <w:num w:numId="92">
    <w:abstractNumId w:val="48"/>
  </w:num>
  <w:num w:numId="93">
    <w:abstractNumId w:val="16"/>
  </w:num>
  <w:num w:numId="94">
    <w:abstractNumId w:val="103"/>
  </w:num>
  <w:num w:numId="95">
    <w:abstractNumId w:val="12"/>
  </w:num>
  <w:num w:numId="96">
    <w:abstractNumId w:val="4"/>
  </w:num>
  <w:num w:numId="97">
    <w:abstractNumId w:val="87"/>
  </w:num>
  <w:num w:numId="98">
    <w:abstractNumId w:val="13"/>
  </w:num>
  <w:num w:numId="99">
    <w:abstractNumId w:val="50"/>
  </w:num>
  <w:num w:numId="100">
    <w:abstractNumId w:val="9"/>
  </w:num>
  <w:num w:numId="101">
    <w:abstractNumId w:val="24"/>
  </w:num>
  <w:num w:numId="102">
    <w:abstractNumId w:val="8"/>
  </w:num>
  <w:num w:numId="103">
    <w:abstractNumId w:val="102"/>
  </w:num>
  <w:num w:numId="104">
    <w:abstractNumId w:val="29"/>
  </w:num>
  <w:num w:numId="105">
    <w:abstractNumId w:val="78"/>
  </w:num>
  <w:num w:numId="106">
    <w:abstractNumId w:val="10"/>
  </w:num>
  <w:num w:numId="107">
    <w:abstractNumId w:val="9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B2"/>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4B5"/>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1FB4"/>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94F"/>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56D5"/>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23D"/>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6D57"/>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09C"/>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CFC"/>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447D"/>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605"/>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0FE"/>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5F9B"/>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84F"/>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2702"/>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8E0"/>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00A"/>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83"/>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C04"/>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836"/>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14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8B72A-4EBB-41FF-AD56-7E81D04F5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41</Pages>
  <Words>14034</Words>
  <Characters>84209</Characters>
  <Application>Microsoft Office Word</Application>
  <DocSecurity>0</DocSecurity>
  <Lines>701</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Piotr Popik</cp:lastModifiedBy>
  <cp:revision>15</cp:revision>
  <cp:lastPrinted>2025-03-20T11:40:00Z</cp:lastPrinted>
  <dcterms:created xsi:type="dcterms:W3CDTF">2025-04-17T07:08:00Z</dcterms:created>
  <dcterms:modified xsi:type="dcterms:W3CDTF">2025-06-13T10:05:00Z</dcterms:modified>
</cp:coreProperties>
</file>